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2E" w:rsidRPr="0054522E" w:rsidRDefault="0054522E">
      <w:pPr>
        <w:rPr>
          <w:b/>
          <w:lang w:val="sr-Latn-CS"/>
        </w:rPr>
      </w:pPr>
      <w:r w:rsidRPr="0054522E">
        <w:rPr>
          <w:b/>
          <w:lang w:val="sr-Latn-CS"/>
        </w:rPr>
        <w:t>2013. godina na Beogradskoj berzi</w:t>
      </w:r>
    </w:p>
    <w:p w:rsidR="00C655A9" w:rsidRDefault="00F31E23">
      <w:pPr>
        <w:rPr>
          <w:lang w:val="sr-Latn-CS"/>
        </w:rPr>
      </w:pPr>
      <w:r>
        <w:rPr>
          <w:lang w:val="sr-Latn-CS"/>
        </w:rPr>
        <w:t xml:space="preserve">Godišnji promet na Beogradskoj berzi u 2013. godini iznosio je 30,2 </w:t>
      </w:r>
      <w:r w:rsidR="009556E0">
        <w:rPr>
          <w:lang w:val="sr-Latn-CS"/>
        </w:rPr>
        <w:t xml:space="preserve">milijarde </w:t>
      </w:r>
      <w:r>
        <w:rPr>
          <w:lang w:val="sr-Latn-CS"/>
        </w:rPr>
        <w:t>dinara, odnosno 267 miliona evra i ostvaren je kroz 344,1 hiljad</w:t>
      </w:r>
      <w:r w:rsidR="00DA03D1">
        <w:rPr>
          <w:lang w:val="sr-Latn-CS"/>
        </w:rPr>
        <w:t xml:space="preserve">u transakcija. Iako je dinarska vrednost godišnjeg prometa najveća zabeležena u prethodne četiri godine, vrednost ovog pokazatelja u evrima je tek druga po veličini u periodu od 2010, zaključno sa 2013. godinom.  </w:t>
      </w:r>
      <w:r w:rsidR="00052F2D">
        <w:rPr>
          <w:lang w:val="sr-Latn-CS"/>
        </w:rPr>
        <w:t xml:space="preserve">U odnosu na 2012. godinu zabeležen je rast prometa od +20,7%, dok je broj transakcija manji za </w:t>
      </w:r>
      <w:r w:rsidR="004B038C">
        <w:rPr>
          <w:lang w:val="sr-Latn-CS"/>
        </w:rPr>
        <w:t>-</w:t>
      </w:r>
      <w:r w:rsidR="00052F2D">
        <w:rPr>
          <w:lang w:val="sr-Latn-CS"/>
        </w:rPr>
        <w:t>28</w:t>
      </w:r>
      <w:r w:rsidR="004B038C">
        <w:rPr>
          <w:lang w:val="sr-Latn-CS"/>
        </w:rPr>
        <w:t xml:space="preserve">,8% i istovremeno je najmanji godišnji broj transakcija zabeležen od 2010. godine. </w:t>
      </w:r>
      <w:r w:rsidR="00052F2D">
        <w:rPr>
          <w:lang w:val="sr-Latn-CS"/>
        </w:rPr>
        <w:t xml:space="preserve"> </w:t>
      </w:r>
    </w:p>
    <w:p w:rsidR="00052F2D" w:rsidRDefault="00052F2D">
      <w:r>
        <w:t xml:space="preserve">Protekla, 2013. godina je druga zaredom u kojoj vrednosti indeksnih pokazatelja Beogradske berze beleže rast vrednosti, </w:t>
      </w:r>
      <w:r>
        <w:rPr>
          <w:lang w:val="sr-Latn-CS"/>
        </w:rPr>
        <w:t xml:space="preserve">tako da indeks BELEX15 beleži poslednju decembarsku vrednost na nivou od </w:t>
      </w:r>
      <w:r>
        <w:t>557,97 poena, što je za 6,51% više od poslednje vrednosti ovog pokazatelja u 2012. godini, dok je indeks BELEXline zabeležio rast vrednosti od +9,88% i godinu završio na nivou od 1.104,92 indeksnih poena. Kretanje indeksnih pokazatelja Berze bilo je približno ujednačeno, tako da su oba indeksa u prvom tromesečju protekle godine zabeležili rast vrednosti, koji je, sa druge strane, bio anuliran već narednog tromesečja, tako da su i indeks</w:t>
      </w:r>
      <w:r w:rsidR="004B038C">
        <w:t>i</w:t>
      </w:r>
      <w:r>
        <w:t xml:space="preserve"> BELEX15 i BELEXline prvu polovinu 2013. godine završili na nivima nižim od nivo</w:t>
      </w:r>
      <w:r w:rsidR="004B038C">
        <w:t>a</w:t>
      </w:r>
      <w:r>
        <w:t xml:space="preserve"> sa kojih je počelo trgovanje u 2013. godini. Druga polovina godine obeležena je skoro konstantnim blagim rastom vrednosti ovih pokazatelja, što je rezultovalo godišnjim maksimumom vrednosti indeksa BELEXline, koji je dostignut upravo u trgovanju poslednjeg radnog dana – 31. decembra, dok indeks BELEX15 nije uspeo da nadoknadi pad vrednosti iz drugog tromesečja i tek se donekle približio godišnjem maksimumu dostignutom 5. aprila,</w:t>
      </w:r>
      <w:r w:rsidR="00923E3B">
        <w:t xml:space="preserve"> </w:t>
      </w:r>
      <w:r>
        <w:t>na nivou o</w:t>
      </w:r>
      <w:r w:rsidR="00547280" w:rsidRPr="00547280">
        <w:t xml:space="preserve"> </w:t>
      </w:r>
      <w:r>
        <w:t xml:space="preserve">d 588,75 poena. </w:t>
      </w:r>
    </w:p>
    <w:p w:rsidR="00547280" w:rsidRDefault="0054728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114935</wp:posOffset>
            </wp:positionV>
            <wp:extent cx="3943350" cy="205549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045" t="33667" r="30453" b="3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280" w:rsidRDefault="00547280"/>
    <w:p w:rsidR="00547280" w:rsidRDefault="00547280"/>
    <w:p w:rsidR="00547280" w:rsidRDefault="00547280"/>
    <w:p w:rsidR="00547280" w:rsidRDefault="00547280"/>
    <w:p w:rsidR="00547280" w:rsidRDefault="00547280"/>
    <w:p w:rsidR="00547280" w:rsidRDefault="00547280"/>
    <w:p w:rsidR="00547280" w:rsidRDefault="0054728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129540</wp:posOffset>
            </wp:positionV>
            <wp:extent cx="4146550" cy="212026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855" t="34106" r="30536" b="39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280" w:rsidRDefault="00547280"/>
    <w:p w:rsidR="00547280" w:rsidRDefault="00547280"/>
    <w:p w:rsidR="00547280" w:rsidRDefault="00547280"/>
    <w:p w:rsidR="00547280" w:rsidRDefault="00547280"/>
    <w:p w:rsidR="00547280" w:rsidRDefault="00547280"/>
    <w:p w:rsidR="00547280" w:rsidRDefault="00547280"/>
    <w:p w:rsidR="00547280" w:rsidRDefault="00A9039B">
      <w:r>
        <w:t>U strukturi prometa u 2013. godini dominiralo je trgovanje akcijama, i to pre svega blok transakcije, čije je učešće u ukupnom godišnjem trgovanju bilo 48,98%. Posmatrano po tržišnim segmentima, najveća godišnja vrednost prometa zabeležena je</w:t>
      </w:r>
      <w:r w:rsidR="004B038C">
        <w:t xml:space="preserve"> u trgovanju</w:t>
      </w:r>
      <w:r>
        <w:t xml:space="preserve"> akcijama koje se nalaze na Open marketu, koje su </w:t>
      </w:r>
      <w:r w:rsidR="004B038C">
        <w:t xml:space="preserve">u godišnjoj vrednosti prometa </w:t>
      </w:r>
      <w:r>
        <w:t xml:space="preserve">učestvovale sa 66,2%, dok se na drugom mestu nalaze akcije listirane na Prime Listingu i kojima je istrgovano 17,8% </w:t>
      </w:r>
      <w:r w:rsidR="004B038C">
        <w:t>prošlogodišnje vrednosti trgovanja</w:t>
      </w:r>
      <w:r>
        <w:t xml:space="preserve">. Akcijama koje se nalaze na MTP tržišnom segmentu Beogradske berze istrgovano je 5,6% </w:t>
      </w:r>
      <w:r w:rsidR="004B038C">
        <w:t>ukupnog godišnjeg prometa</w:t>
      </w:r>
      <w:r>
        <w:t xml:space="preserve">, koliko je približno iznosilo i učešće obveznica Republike Srbije, tačnije 5,0%. Akcije listirane na Standard Listingu učestvovale su u godišnjem trgovanju sa 4,8%, dok je najmanje i praktično zanemarljivo učešće obveznica domaćih banaka koje su u toku godine kotirane na Open marketu i čija je godišnja vrednost prometa iznosila 158,8 miliona dinara, odnosno 0,5% godišnjeg prometa. </w:t>
      </w:r>
    </w:p>
    <w:p w:rsidR="00A9039B" w:rsidRDefault="00A11F82">
      <w:r>
        <w:t xml:space="preserve">Najtrgovanije akcije u redovnim trgovanjima, kao i prethodnih godina, ali uz donekle izmenjen redosled, bile su akcije Naftne idustrije Srbije, kojima je trgovano u iznosu od 2,8 milijardi dinara, zatim obične akcije AIK banke iz Niša, čija je godišnja vrednost prometa iznosila 2,6 milijardi dinara, kao i akcije kompanije Soja protein iz Bečeja, kojima je trgovano u iznosu od 1,3 milijarde dinara. Sve druge pojedinačne emisije akcija zabeležile su promet manji od jedne milijarde dinara pojedinačno, na godišnjem nivou. Najveća blok transakcija u prethodnoj godini zabeležena je na samom početku godine, u januaru, za akcije beogradskog Frikoma, u iznosu od 10,8 milijardi dinara, ali je ova hartija kasnije tokom godine isključena iz trgovanja na Berzi, na zahtev izdavaoca. </w:t>
      </w:r>
      <w:r w:rsidR="00D80C19">
        <w:t xml:space="preserve">U trgovanju obveznicama RS značajniji promet zabeležen je za seriju A2014, kojom je trgovano u iznosu od 801,4 miliona dinara, dok je ukupna vrednost trgovanja ovim hartijama od vrednosti na Beogradskoj berzi u toku 2013. godine iznosila 1,5 milijardi dinara. </w:t>
      </w:r>
    </w:p>
    <w:p w:rsidR="00547280" w:rsidRDefault="00E81454">
      <w:r>
        <w:t xml:space="preserve">Najveći rast cene na godišnjem nivou zabeležen je za akcije kompanije Pobeda a.d. Tošin bunar 161, Beograd, u iznosu od +300%, kojima je trgovano na Open marketu, ali koje su krajem godine takođe isključene iz trgovanja na zahtev izdavaoca. Na drugom mestu, sa rastom cene od </w:t>
      </w:r>
      <w:r w:rsidRPr="00E81454">
        <w:t>+189,95%</w:t>
      </w:r>
      <w:r>
        <w:t xml:space="preserve"> našle su se akcije Luke Dunav iz Pančeva, dok su treće mesto zauzele akcije kompanije Dijamant iz Zrenjanina, čija je cena na godišnjem nivou porasla za </w:t>
      </w:r>
      <w:r w:rsidR="004B038C">
        <w:t>+</w:t>
      </w:r>
      <w:r>
        <w:t xml:space="preserve">180,02%. Među listiranim akcijama najveći godišnji rast cene zabeležen je za vlasničke hartije Alfa plama iz Vranja, čija je cena porasla za +136,70%, ali su i sve druge listirane akcije, izuzev akcija Soje proteina, zabeležile godišnji rast cene u rasponu od +7,72%, koliko je iznosila godišnja promena vrednosti cene akcija Komercijalne banke iz Beograda, do +39,77%, za koliko je porasla cena akcija kompanije Metalac iz Gornjeg Milanovca. Najveći pad cene na godišnjem nivou zabeležen je za akcije kompanije Banini iz Kikinde, u iznosu od </w:t>
      </w:r>
      <w:r w:rsidR="00F30F4B">
        <w:t xml:space="preserve">-78,32%, a na drugom mestu su se našle, kasnije isključene akcije beogradske Privredne banke, čija je cena u prvih 10 meseci 2013. godine zabeležila pad vrednosti od -78,13%. </w:t>
      </w:r>
    </w:p>
    <w:p w:rsidR="00C107D5" w:rsidRDefault="00F1526A">
      <w:r>
        <w:t>Sa druge strane, pored brojnih drugih aktivnosti na promociji domaćeg tržišta kapitala i izdavalaca, kao najznačajniji događaj u 2013. godini na Beogradskoj berzi može se istaći novembarska Međunarodna konferencija Beogradske berze, u okviru koje je održana i Treća regionalna investitorska konferencija, na kojoj je okupljeno preko 100 predstavnika najboljih izdavalaca</w:t>
      </w:r>
      <w:r w:rsidR="00317AEF">
        <w:t xml:space="preserve"> u regionu</w:t>
      </w:r>
      <w:r>
        <w:t xml:space="preserve"> i velikih investitora sa razvijenih tržišta. </w:t>
      </w:r>
      <w:r w:rsidR="00A749BC">
        <w:t xml:space="preserve">Takođe, u okviru istog događaja, dodeljena je i nagrada kompaniji koja je u prethodnoj godini </w:t>
      </w:r>
      <w:r w:rsidR="00A749BC">
        <w:lastRenderedPageBreak/>
        <w:t xml:space="preserve">ostvarila nakvalitetniji odnos prema investicionoj javnosti, a dobitnik plakete po treći put za redom bila je kompanija NIS a.d. Novi Sad. </w:t>
      </w:r>
    </w:p>
    <w:p w:rsidR="00A749BC" w:rsidRDefault="00A749BC">
      <w:r>
        <w:t xml:space="preserve">Više informacija o svim aktuelnim i prethodnim dešavanjima na Beogradskoj berzi, informacije o pojedinačnim hartijama od vrednosti, kao i najave najznačajinijih događaja na domaćem tržištu kapitala raspoložive su na internet stranicama Beogradske berze: </w:t>
      </w:r>
      <w:hyperlink r:id="rId6" w:history="1">
        <w:r w:rsidRPr="004815EC">
          <w:rPr>
            <w:rStyle w:val="Hyperlink"/>
          </w:rPr>
          <w:t>www.belex.rs</w:t>
        </w:r>
      </w:hyperlink>
      <w:r>
        <w:t xml:space="preserve">, kao i na servisu za praćenje trgovanja u realnom vremenu: </w:t>
      </w:r>
      <w:hyperlink r:id="rId7" w:history="1">
        <w:r w:rsidRPr="004815EC">
          <w:rPr>
            <w:rStyle w:val="Hyperlink"/>
          </w:rPr>
          <w:t>www.belex.info</w:t>
        </w:r>
      </w:hyperlink>
      <w:r>
        <w:t xml:space="preserve">. </w:t>
      </w:r>
    </w:p>
    <w:p w:rsidR="00A749BC" w:rsidRDefault="00A749BC"/>
    <w:p w:rsidR="00A749BC" w:rsidRDefault="00A749BC"/>
    <w:p w:rsidR="00547280" w:rsidRDefault="00547280"/>
    <w:p w:rsidR="00547280" w:rsidRDefault="00547280"/>
    <w:p w:rsidR="00547280" w:rsidRDefault="00547280"/>
    <w:p w:rsidR="00547280" w:rsidRDefault="00547280"/>
    <w:p w:rsidR="00547280" w:rsidRDefault="00547280"/>
    <w:p w:rsidR="00547280" w:rsidRDefault="00547280"/>
    <w:p w:rsidR="00547280" w:rsidRPr="00052F2D" w:rsidRDefault="00547280">
      <w:pPr>
        <w:rPr>
          <w:lang w:val="sr-Latn-CS"/>
        </w:rPr>
      </w:pPr>
    </w:p>
    <w:sectPr w:rsidR="00547280" w:rsidRPr="00052F2D" w:rsidSect="00C65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characterSpacingControl w:val="doNotCompress"/>
  <w:compat/>
  <w:rsids>
    <w:rsidRoot w:val="00F31E23"/>
    <w:rsid w:val="00052F2D"/>
    <w:rsid w:val="00317AEF"/>
    <w:rsid w:val="004A76E7"/>
    <w:rsid w:val="004B038C"/>
    <w:rsid w:val="0054522E"/>
    <w:rsid w:val="00547280"/>
    <w:rsid w:val="005A250F"/>
    <w:rsid w:val="007019E1"/>
    <w:rsid w:val="008B24EF"/>
    <w:rsid w:val="00904879"/>
    <w:rsid w:val="00923E3B"/>
    <w:rsid w:val="009556E0"/>
    <w:rsid w:val="00A11F82"/>
    <w:rsid w:val="00A749BC"/>
    <w:rsid w:val="00A9039B"/>
    <w:rsid w:val="00C107D5"/>
    <w:rsid w:val="00C655A9"/>
    <w:rsid w:val="00D80C19"/>
    <w:rsid w:val="00DA03D1"/>
    <w:rsid w:val="00E81454"/>
    <w:rsid w:val="00F1526A"/>
    <w:rsid w:val="00F30F4B"/>
    <w:rsid w:val="00F3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A9"/>
  </w:style>
  <w:style w:type="paragraph" w:styleId="Heading2">
    <w:name w:val="heading 2"/>
    <w:basedOn w:val="Normal"/>
    <w:link w:val="Heading2Char"/>
    <w:uiPriority w:val="9"/>
    <w:qFormat/>
    <w:rsid w:val="00C10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107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74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lex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Beogradska Berza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14</cp:revision>
  <dcterms:created xsi:type="dcterms:W3CDTF">2014-01-03T08:36:00Z</dcterms:created>
  <dcterms:modified xsi:type="dcterms:W3CDTF">2014-01-03T13:26:00Z</dcterms:modified>
</cp:coreProperties>
</file>