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jc w:val="center"/>
      </w:pPr>
      <w:r>
        <w:rPr>
          <w:rFonts w:ascii="Verdana" w:cs="Arial" w:hAnsi="Verdana"/>
          <w:b/>
          <w:bCs/>
          <w:sz w:val="22"/>
          <w:szCs w:val="22"/>
        </w:rPr>
        <w:t xml:space="preserve">O D L U K U </w:t>
      </w:r>
    </w:p>
    <w:p>
      <w:pPr>
        <w:pStyle w:val="style16"/>
        <w:jc w:val="center"/>
      </w:pPr>
      <w:r>
        <w:rPr>
          <w:rFonts w:ascii="Verdana" w:cs="Arial" w:hAnsi="Verdana"/>
          <w:b/>
          <w:bCs/>
          <w:sz w:val="22"/>
          <w:szCs w:val="22"/>
        </w:rPr>
        <w:t xml:space="preserve">O SAZIVANJU </w:t>
      </w:r>
      <w:r>
        <w:rPr>
          <w:rFonts w:ascii="Verdana" w:cs="Arial" w:hAnsi="Verdana"/>
          <w:b/>
          <w:bCs/>
          <w:sz w:val="22"/>
          <w:szCs w:val="22"/>
          <w:lang w:val="sh-YU"/>
        </w:rPr>
        <w:t>REDOVNE</w:t>
      </w:r>
      <w:r>
        <w:rPr>
          <w:rFonts w:ascii="Verdana" w:cs="Arial" w:hAnsi="Verdana"/>
          <w:b/>
          <w:bCs/>
          <w:sz w:val="22"/>
          <w:szCs w:val="22"/>
        </w:rPr>
        <w:t xml:space="preserve"> SEDNICE </w:t>
      </w:r>
    </w:p>
    <w:p>
      <w:pPr>
        <w:pStyle w:val="style16"/>
        <w:jc w:val="center"/>
      </w:pPr>
      <w:r>
        <w:rPr>
          <w:rFonts w:ascii="Verdana" w:cs="Arial" w:hAnsi="Verdana"/>
          <w:b/>
          <w:bCs/>
          <w:sz w:val="22"/>
          <w:szCs w:val="22"/>
        </w:rPr>
        <w:t>SKUPŠTINE DRUŠTVA</w:t>
      </w:r>
    </w:p>
    <w:p>
      <w:pPr>
        <w:pStyle w:val="style16"/>
        <w:jc w:val="center"/>
      </w:pPr>
      <w:r>
        <w:rPr/>
      </w:r>
    </w:p>
    <w:p>
      <w:pPr>
        <w:pStyle w:val="style16"/>
        <w:jc w:val="center"/>
      </w:pPr>
      <w:r>
        <w:rPr>
          <w:rFonts w:ascii="Verdana" w:cs="Arial" w:hAnsi="Verdana"/>
          <w:b/>
          <w:bCs/>
          <w:sz w:val="22"/>
          <w:szCs w:val="22"/>
        </w:rPr>
        <w:t>“</w:t>
      </w:r>
      <w:r>
        <w:rPr>
          <w:rFonts w:ascii="Verdana" w:cs="Arial" w:hAnsi="Verdana"/>
          <w:b/>
          <w:bCs/>
          <w:sz w:val="22"/>
          <w:szCs w:val="22"/>
        </w:rPr>
        <w:t>RUMATRANS” a.d. RUMA</w:t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>
          <w:rFonts w:ascii="Verdana" w:cs="Arial" w:hAnsi="Verdana"/>
          <w:b/>
          <w:bCs/>
          <w:sz w:val="22"/>
          <w:szCs w:val="22"/>
        </w:rPr>
        <w:tab/>
      </w:r>
      <w:r>
        <w:rPr>
          <w:rFonts w:ascii="Verdana" w:cs="Arial" w:hAnsi="Verdana"/>
          <w:b/>
          <w:bCs/>
          <w:sz w:val="22"/>
          <w:szCs w:val="22"/>
          <w:lang w:val="sh-YU"/>
        </w:rPr>
        <w:t>Redovna</w:t>
      </w:r>
      <w:r>
        <w:rPr>
          <w:rFonts w:ascii="Verdana" w:cs="Arial" w:hAnsi="Verdana"/>
          <w:b/>
          <w:bCs/>
          <w:sz w:val="22"/>
          <w:szCs w:val="22"/>
        </w:rPr>
        <w:t xml:space="preserve"> sednica Skupštine akcionara privrednog društva, održaće se </w:t>
      </w:r>
      <w:r>
        <w:rPr>
          <w:rFonts w:ascii="Verdana" w:cs="Arial" w:hAnsi="Verdana"/>
          <w:b/>
          <w:bCs/>
          <w:sz w:val="22"/>
          <w:szCs w:val="22"/>
          <w:lang w:val="sh-YU"/>
        </w:rPr>
        <w:t>26.06.2013</w:t>
      </w:r>
      <w:r>
        <w:rPr>
          <w:rFonts w:ascii="Verdana" w:cs="Arial" w:hAnsi="Verdana"/>
          <w:b/>
          <w:bCs/>
          <w:sz w:val="22"/>
          <w:szCs w:val="22"/>
        </w:rPr>
        <w:t>. godine u prostorijama društva u Rumi, ul.Industrijska bb (Upravna zgrada) sa početkom u 13,00 časova sa sledećim:</w:t>
      </w:r>
    </w:p>
    <w:p>
      <w:pPr>
        <w:pStyle w:val="style16"/>
        <w:jc w:val="both"/>
      </w:pPr>
      <w:r>
        <w:rPr/>
      </w:r>
    </w:p>
    <w:p>
      <w:pPr>
        <w:pStyle w:val="style16"/>
        <w:jc w:val="center"/>
      </w:pPr>
      <w:r>
        <w:rPr>
          <w:rFonts w:ascii="Verdana" w:cs="Arial" w:hAnsi="Verdana"/>
          <w:b/>
          <w:bCs/>
          <w:sz w:val="22"/>
          <w:szCs w:val="22"/>
        </w:rPr>
        <w:t>D N E V N I M   R E D O M</w:t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4"/>
          <w:szCs w:val="24"/>
        </w:rPr>
        <w:tab/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ab/>
        <w:tab/>
      </w: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>1. Donošenje odluke o izboru zapisničara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2. Verifikacija mandata članova i punomoćnika članova Skupštine akcionara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3.Donošenje odluke o  razrešenju i izboru predsednika Skupštine akcionara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4. Usvajanje Zapisnika sa prethodne sednice Skupštine akcionara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5. Razmatranje i usvajanje finansijskog izveštaja za 2012. godinu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6. Razmatranje i usvajanje Izveštaja nezavisnog revizora o finansijskom izveštaju za 2012. godinu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7. Donošenje odluke o izboru revizorske kuće za vršenje revizije finansijskih izveštaja za 2013. godinu</w:t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8. Razno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ab/>
      </w:r>
      <w:r>
        <w:rPr>
          <w:rFonts w:ascii="Verdana" w:cs="Arial" w:hAnsi="Verdana"/>
          <w:b/>
          <w:bCs/>
          <w:sz w:val="22"/>
          <w:szCs w:val="22"/>
        </w:rPr>
        <w:t>Napomena:</w:t>
      </w:r>
      <w:r>
        <w:rPr>
          <w:rFonts w:ascii="Verdana" w:cs="Arial" w:hAnsi="Verdana"/>
          <w:b w:val="false"/>
          <w:bCs w:val="false"/>
          <w:sz w:val="22"/>
          <w:szCs w:val="22"/>
        </w:rPr>
        <w:t xml:space="preserve"> Na osnovu člana </w:t>
      </w:r>
      <w:r>
        <w:rPr>
          <w:rFonts w:ascii="Verdana" w:cs="Arial" w:hAnsi="Verdana"/>
          <w:b w:val="false"/>
          <w:bCs w:val="false"/>
          <w:sz w:val="22"/>
          <w:szCs w:val="22"/>
          <w:lang w:val="sh-YU"/>
        </w:rPr>
        <w:t>19</w:t>
      </w:r>
      <w:r>
        <w:rPr>
          <w:rFonts w:ascii="Verdana" w:cs="Arial" w:hAnsi="Verdana"/>
          <w:b w:val="false"/>
          <w:bCs w:val="false"/>
          <w:sz w:val="22"/>
          <w:szCs w:val="22"/>
        </w:rPr>
        <w:t>. Statuta, članovi Skupštine akcionara su prvih 10 akcionara koji imaju najveći broj glasova-sopstvenih i glasova prenetih pisanim ovlašćenjem (punomoćjem), od strane akcionara. Akcionari koji ne poseduju dovoljan broj akcija za učešće u Skupštini, mogu se udruživati radi ostvarivanja prava glasa u Skupštini preko svog zastupnika.</w:t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ab/>
        <w:t xml:space="preserve">Dan akcionara u smislu Statuta i Zakona o privrednim društvima je </w:t>
      </w:r>
      <w:r>
        <w:rPr>
          <w:rFonts w:ascii="Verdana" w:cs="Arial" w:hAnsi="Verdana"/>
          <w:b w:val="false"/>
          <w:bCs w:val="false"/>
          <w:sz w:val="22"/>
          <w:szCs w:val="22"/>
          <w:lang w:val="sh-YU"/>
        </w:rPr>
        <w:t>14.06.2013.</w:t>
      </w:r>
      <w:r>
        <w:rPr>
          <w:rFonts w:ascii="Verdana" w:cs="Arial" w:hAnsi="Verdana"/>
          <w:b w:val="false"/>
          <w:bCs w:val="false"/>
          <w:sz w:val="22"/>
          <w:szCs w:val="22"/>
        </w:rPr>
        <w:t xml:space="preserve"> godine. Na ovoj sednici mogu prisustvovati akcionari koji su evidentirani u izveštaju Centralnog registra za hartije od vrednosti, lično ili preko svog zastupnika, koji je kao zastupnik dužan da svoja zastupnička ovlašćenja prezentira upravi društva najmanje 1</w:t>
      </w:r>
      <w:r>
        <w:rPr>
          <w:rFonts w:ascii="Verdana" w:cs="Arial" w:hAnsi="Verdana"/>
          <w:b w:val="false"/>
          <w:bCs w:val="false"/>
          <w:sz w:val="22"/>
          <w:szCs w:val="22"/>
          <w:lang w:val="sh-YU"/>
        </w:rPr>
        <w:t>0</w:t>
      </w:r>
      <w:r>
        <w:rPr>
          <w:rFonts w:ascii="Verdana" w:cs="Arial" w:hAnsi="Verdana"/>
          <w:b w:val="false"/>
          <w:bCs w:val="false"/>
          <w:sz w:val="22"/>
          <w:szCs w:val="22"/>
        </w:rPr>
        <w:t xml:space="preserve"> dana pre održavanja sednice Skupštine radi njihove verifikacije da bi mogao punovažno glasati na sednici Skupštine.</w:t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ab/>
        <w:t xml:space="preserve">Materijal za ovu sednicu Skupštine nalazi se u prostorijama Društva i može se u njima razgledati svakog radnog dana neprekidno sedam dana  pre održavanja sednice, a sve bliže informacije mogu se dobiti svakog radnog dana u prostorijama društva i na tel. 022/478-455. </w:t>
      </w:r>
    </w:p>
    <w:p>
      <w:pPr>
        <w:pStyle w:val="style16"/>
        <w:jc w:val="center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 xml:space="preserve">BEOGRADSKA BERZA </w:t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center"/>
      </w:pPr>
      <w:r>
        <w:rPr>
          <w:rFonts w:ascii="Verdana" w:cs="Arial" w:hAnsi="Verdana"/>
          <w:b/>
          <w:bCs/>
          <w:sz w:val="24"/>
          <w:szCs w:val="24"/>
        </w:rPr>
        <w:t>IZVEŠTAJ O BITNOM DOGAĐAJU</w:t>
      </w:r>
    </w:p>
    <w:p>
      <w:pPr>
        <w:pStyle w:val="style16"/>
        <w:jc w:val="center"/>
      </w:pPr>
      <w:r>
        <w:rPr>
          <w:rFonts w:ascii="Verdana" w:cs="Arial" w:hAnsi="Verdana"/>
          <w:b w:val="false"/>
          <w:bCs w:val="false"/>
          <w:sz w:val="22"/>
          <w:szCs w:val="22"/>
        </w:rPr>
        <w:t xml:space="preserve">(sazivanje </w:t>
      </w:r>
      <w:r>
        <w:rPr>
          <w:rFonts w:ascii="Verdana" w:cs="Arial" w:hAnsi="Verdana"/>
          <w:b w:val="false"/>
          <w:bCs w:val="false"/>
          <w:sz w:val="22"/>
          <w:szCs w:val="22"/>
          <w:lang w:val="sh-YU"/>
        </w:rPr>
        <w:t>redovne</w:t>
      </w:r>
      <w:r>
        <w:rPr>
          <w:rFonts w:ascii="Verdana" w:cs="Arial" w:hAnsi="Verdana"/>
          <w:b w:val="false"/>
          <w:bCs w:val="false"/>
          <w:sz w:val="22"/>
          <w:szCs w:val="22"/>
        </w:rPr>
        <w:t xml:space="preserve"> sednice</w:t>
      </w:r>
    </w:p>
    <w:p>
      <w:pPr>
        <w:pStyle w:val="style16"/>
        <w:jc w:val="center"/>
      </w:pPr>
      <w:r>
        <w:rPr>
          <w:rFonts w:ascii="Verdana" w:cs="Arial" w:hAnsi="Verdana"/>
          <w:b w:val="false"/>
          <w:bCs w:val="false"/>
          <w:sz w:val="22"/>
          <w:szCs w:val="22"/>
        </w:rPr>
        <w:t>Skupštine akcionarskog društva)</w:t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ab/>
        <w:t>Izveštaj je sastavljen u skladu sa članom 64. Zakona o tržištu hartija od vrednosti i drugih finansijskih instrumenata kao i sa članovima 6. i 7. Pravilnika o sadržini i načinu izveštavanja javnih društava i obaveštavanju o posedovanju akcija sa pravom glasa.</w:t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ab/>
      </w:r>
      <w:r>
        <w:rPr>
          <w:rFonts w:ascii="Verdana" w:cs="Arial" w:hAnsi="Verdana"/>
          <w:b w:val="false"/>
          <w:bCs w:val="false"/>
          <w:sz w:val="22"/>
          <w:szCs w:val="22"/>
          <w:lang w:val="sh-YU"/>
        </w:rPr>
        <w:t>Redovna</w:t>
      </w:r>
      <w:r>
        <w:rPr>
          <w:rFonts w:ascii="Verdana" w:cs="Arial" w:hAnsi="Verdana"/>
          <w:b w:val="false"/>
          <w:bCs w:val="false"/>
          <w:sz w:val="22"/>
          <w:szCs w:val="22"/>
        </w:rPr>
        <w:t xml:space="preserve"> sednica Skupštine akcionara privrednog društva “Rumatrans” a.d. Ruma održaće se </w:t>
      </w:r>
      <w:r>
        <w:rPr>
          <w:rFonts w:ascii="Verdana" w:cs="Arial" w:hAnsi="Verdana"/>
          <w:b w:val="false"/>
          <w:bCs w:val="false"/>
          <w:sz w:val="22"/>
          <w:szCs w:val="22"/>
          <w:lang w:val="sh-YU"/>
        </w:rPr>
        <w:t>26.06.2013.</w:t>
      </w:r>
      <w:r>
        <w:rPr>
          <w:rFonts w:ascii="Verdana" w:cs="Arial" w:hAnsi="Verdana"/>
          <w:b w:val="false"/>
          <w:bCs w:val="false"/>
          <w:sz w:val="22"/>
          <w:szCs w:val="22"/>
        </w:rPr>
        <w:t xml:space="preserve"> godine u prostorijama društva u Rumi, ul. Industrijska bb, sa početkom u 13,00 časova.</w:t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ab/>
        <w:t>Dnevni red na sednici Skupštine je sledeći:</w:t>
      </w:r>
    </w:p>
    <w:p>
      <w:pPr>
        <w:pStyle w:val="style16"/>
        <w:jc w:val="both"/>
      </w:pPr>
      <w:r>
        <w:rPr/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0"/>
          <w:szCs w:val="20"/>
          <w:lang w:val="sh-YU"/>
        </w:rPr>
        <w:tab/>
        <w:tab/>
      </w: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>1. Donošenje odluke o izboru zapisničara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2. Verifikacija mandata članova i punomoćnika članova Skupštine akcionara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3.Donošenje odluke o  razrešenju i izboru predsednika Skupštine akcionara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4. Usvajanje Zapisnika sa prethodne sednice Skupštine akcionara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5. Razmatranje i usvajanje finansijskog izveštaja za 2012. godinu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6. Razmatranje i usvajanje Izveštaja nezavisnog revizora o finansijskom izveštaju za 2012. godinu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7. Donošenje odluke o izboru revizorske kuće za vršenje revizije finansijskih izveštaja za 2013. godinu</w:t>
      </w:r>
    </w:p>
    <w:p>
      <w:pPr>
        <w:pStyle w:val="style0"/>
        <w:tabs>
          <w:tab w:leader="none" w:pos="706" w:val="left"/>
          <w:tab w:leader="none" w:pos="1080" w:val="left"/>
        </w:tabs>
        <w:ind w:hanging="0" w:left="0" w:right="0"/>
        <w:jc w:val="both"/>
      </w:pPr>
      <w:r>
        <w:rPr>
          <w:rFonts w:ascii="Verdana" w:cs="Arial" w:hAnsi="Verdana"/>
          <w:b w:val="false"/>
          <w:bCs w:val="false"/>
          <w:i w:val="false"/>
          <w:iCs w:val="false"/>
          <w:sz w:val="22"/>
          <w:szCs w:val="22"/>
          <w:lang w:val="sh-YU"/>
        </w:rPr>
        <w:tab/>
        <w:tab/>
        <w:t>8. Razno</w:t>
      </w:r>
    </w:p>
    <w:p>
      <w:pPr>
        <w:pStyle w:val="style0"/>
        <w:tabs>
          <w:tab w:leader="none" w:pos="706" w:val="left"/>
          <w:tab w:leader="none" w:pos="1080" w:val="left"/>
        </w:tabs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/>
      </w:r>
    </w:p>
    <w:p>
      <w:pPr>
        <w:pStyle w:val="style16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>Direktor:</w:t>
      </w:r>
    </w:p>
    <w:p>
      <w:pPr>
        <w:pStyle w:val="style16"/>
        <w:jc w:val="both"/>
      </w:pPr>
      <w:r>
        <w:rPr/>
      </w:r>
    </w:p>
    <w:p>
      <w:pPr>
        <w:pStyle w:val="style16"/>
        <w:spacing w:after="120" w:before="0"/>
        <w:jc w:val="both"/>
      </w:pPr>
      <w:r>
        <w:rPr>
          <w:rFonts w:ascii="Verdana" w:cs="Arial" w:hAnsi="Verdana"/>
          <w:b w:val="false"/>
          <w:bCs w:val="false"/>
          <w:sz w:val="22"/>
          <w:szCs w:val="22"/>
        </w:rPr>
        <w:tab/>
        <w:tab/>
        <w:tab/>
        <w:tab/>
        <w:tab/>
        <w:tab/>
        <w:tab/>
        <w:t>Slobodan Borovic</w:t>
      </w:r>
      <w:r>
        <w:rPr>
          <w:rFonts w:ascii="Verdana" w:cs="Arial" w:hAnsi="Verdana"/>
          <w:b w:val="false"/>
          <w:bCs w:val="false"/>
          <w:sz w:val="22"/>
          <w:szCs w:val="22"/>
          <w:lang w:val="sh-YU"/>
        </w:rPr>
        <w:t>a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6" w:val="left"/>
      </w:tabs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en-US" w:eastAsia="en-US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Tahoma" w:eastAsia="Andale Sans U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Tahoma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2009-04-16T11:32:02.17Z</dcterms:created>
  <dcterms:modified xsi:type="dcterms:W3CDTF">2013-05-24T13:22:24.17Z</dcterms:modified>
  <cp:revision>3</cp:revision>
</cp:coreProperties>
</file>